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Advertising expense substantiation checklist</w:t>
      </w:r>
    </w:p>
    <w:p>
      <w:pPr>
        <w:pStyle w:val="Subtitle"/>
      </w:pPr>
      <w:r>
        <w:t>Edited illustrative workpaper · Synthetic 2024 facts · October 25, 2026</w:t>
      </w:r>
    </w:p>
    <w:p>
      <w:r>
        <w:t>Separate evidence of payment from the questions an internal reviewer still needs answered about a synthetic advertising expense.</w:t>
      </w:r>
    </w:p>
    <w:p>
      <w:r>
        <w:t>This sample was adapted from an AI-assisted draft and edited for publication. It is not an untouched model answer, a promise of identical results, or a professional opinion.</w:t>
      </w:r>
    </w:p>
    <w:p>
      <w:pPr>
        <w:pStyle w:val="Heading1"/>
      </w:pPr>
      <w:r>
        <w:t>The question</w:t>
      </w:r>
    </w:p>
    <w:p>
      <w:r>
        <w:t>For a synthetic 2024 sole-proprietor advertising expense, prepare an internal records request and issue list. Do not draft a filing-ready taxpayer response or decide deductibility.</w:t>
      </w:r>
    </w:p>
    <w:p>
      <w:pPr>
        <w:pStyle w:val="Heading1"/>
      </w:pPr>
      <w:r>
        <w:t>Facts supplied</w:t>
      </w:r>
    </w:p>
    <w:p>
      <w:pPr>
        <w:pStyle w:val="ListBullet"/>
      </w:pPr>
      <w:r>
        <w:t>A sole proprietor claimed a $4,500 advertising expense in 2024.</w:t>
      </w:r>
    </w:p>
    <w:p>
      <w:pPr>
        <w:pStyle w:val="ListBullet"/>
      </w:pPr>
      <w:r>
        <w:t>The synthetic file includes a vendor invoice and matching bank payment.</w:t>
      </w:r>
    </w:p>
    <w:p>
      <w:pPr>
        <w:pStyle w:val="ListBullet"/>
      </w:pPr>
      <w:r>
        <w:t>The file does not show the advertisement, what was delivered, or how it relates to the business.</w:t>
      </w:r>
    </w:p>
    <w:p>
      <w:pPr>
        <w:pStyle w:val="ListBullet"/>
      </w:pPr>
      <w:r>
        <w:t>An examiner requested support; the actual request, deadline and examination scope are not supplied.</w:t>
      </w:r>
    </w:p>
    <w:p>
      <w:pPr>
        <w:pStyle w:val="Heading1"/>
      </w:pPr>
      <w:r>
        <w:t>Separate the legal issue from the evidence in hand</w:t>
      </w:r>
    </w:p>
    <w:p>
      <w:r>
        <w:t>Section 162(a) addresses ordinary and necessary expenses paid or incurred in carrying on a trade or business. The internal review should therefore investigate more than whether money left the account: what was purchased, its connection to the business, the relevant period, and whether the statutory standard and any other applicable limitation are satisfied. [1]</w:t>
      </w:r>
    </w:p>
    <w:p>
      <w:r>
        <w:t>Section 6001 requires records, statements and returns as prescribed by the Secretary and permits records sufficient to show tax liability to be required. It does not prescribe the advertising-specific packet below; that packet is a practical suggestion for developing this incomplete file. [2]</w:t>
      </w:r>
    </w:p>
    <w:p>
      <w:r>
        <w:t>On these synthetic facts, the invoice and matching payment support the amount invoiced and paid. They leave the underlying advertising and its business connection unexplained. That evidentiary gap is not a determination that the deduction must be allowed or disallowed.</w:t>
      </w:r>
    </w:p>
    <w:p>
      <w:pPr>
        <w:pStyle w:val="Heading1"/>
      </w:pPr>
      <w:r>
        <w:t>Proposed internal request to the record holder</w:t>
      </w:r>
    </w:p>
    <w:p>
      <w:r>
        <w:t>Please assemble the following anonymized materials for the responsible practitioner's review. This is a suggested records request, not text to send to the examiner without reviewing the actual request and engagement.</w:t>
      </w:r>
    </w:p>
    <w:p>
      <w:pPr>
        <w:pStyle w:val="ListBullet"/>
      </w:pPr>
      <w:r>
        <w:t>The invoice, advertising contract or order, payment confirmation and corresponding ledger entry.</w:t>
      </w:r>
    </w:p>
    <w:p>
      <w:pPr>
        <w:pStyle w:val="ListBullet"/>
      </w:pPr>
      <w:r>
        <w:t>The advertisement or other deliverable: copy, image, publication record, website placement or campaign report.</w:t>
      </w:r>
    </w:p>
    <w:p>
      <w:pPr>
        <w:pStyle w:val="ListBullet"/>
      </w:pPr>
      <w:r>
        <w:t>Dates of delivery or publication, placement locations and intended audience.</w:t>
      </w:r>
    </w:p>
    <w:p>
      <w:pPr>
        <w:pStyle w:val="ListBullet"/>
      </w:pPr>
      <w:r>
        <w:t>Contemporaneous correspondence explaining the campaign's business objective and the products or services promoted.</w:t>
      </w:r>
    </w:p>
    <w:p>
      <w:pPr>
        <w:pStyle w:val="ListBullet"/>
      </w:pPr>
      <w:r>
        <w:t>A breakdown of any bundled services or amounts benefiting another activity or person.</w:t>
      </w:r>
    </w:p>
    <w:p>
      <w:pPr>
        <w:pStyle w:val="ListBullet"/>
      </w:pPr>
      <w:r>
        <w:t>The examiner's actual request and the file's existing response history, supplied through the firm's approved secure process.</w:t>
      </w:r>
    </w:p>
    <w:p>
      <w:pPr>
        <w:pStyle w:val="Heading1"/>
      </w:pPr>
      <w:r>
        <w:t>Working issue list for the reviewer</w:t>
      </w:r>
    </w:p>
    <w:p>
      <w:r>
        <w:t>Reconcile the records to the claimed amount. Identify what the vendor supplied, when it was supplied and how the business used it. Record inconsistencies and questions rather than filling gaps with assumptions. These are proposed review steps directed to the section 162 inquiry and section 6001 records framework. [1] [2]</w:t>
      </w:r>
    </w:p>
    <w:p>
      <w:r>
        <w:t>Keep the conclusion open until the responsible practitioner evaluates the completed factual record and any additional applicable authority. Do not turn a missing advertisement into a categorical denial, or a matching payment into a categorical allowance.</w:t>
      </w:r>
    </w:p>
    <w:p>
      <w:pPr>
        <w:pStyle w:val="Heading1"/>
      </w:pPr>
      <w:r>
        <w:t>Sources to inspect</w:t>
      </w:r>
    </w:p>
    <w:p>
      <w:pPr>
        <w:keepNext/>
      </w:pPr>
      <w:hyperlink r:id="rId11">
        <w:r>
          <w:rPr>
            <w:color w:val="175E43"/>
            <w:u w:val="single"/>
          </w:rPr>
          <w:t>[1] 26 U.S.C. §162(a) — trade or business expenses</w:t>
        </w:r>
      </w:hyperlink>
    </w:p>
    <w:p>
      <w:r>
        <w:t>Official United States Code, 2024 edition. Excerpt: “all the ordinary and necessary expenses paid or incurred.”</w:t>
      </w:r>
    </w:p>
    <w:p>
      <w:pPr>
        <w:keepNext/>
      </w:pPr>
      <w:hyperlink r:id="rId12">
        <w:r>
          <w:rPr>
            <w:color w:val="175E43"/>
            <w:u w:val="single"/>
          </w:rPr>
          <w:t>[2] 26 U.S.C. §6001 — records, statements and returns</w:t>
        </w:r>
      </w:hyperlink>
    </w:p>
    <w:p>
      <w:r>
        <w:t>Official United States Code, 2024 edition. Excerpt: “shall keep such records, render such statements, make such returns.”</w:t>
      </w:r>
    </w:p>
    <w:p>
      <w:pPr>
        <w:pStyle w:val="Heading1"/>
      </w:pPr>
      <w:r>
        <w:t>About this sample</w:t>
      </w:r>
    </w:p>
    <w:p>
      <w:r>
        <w:t>Edited illustrative workpaper · synthetic facts. Derived from an actual Taxterity run, then condensed and substantively edited in an AI-assisted editorial/source check. All case citations, including an excerpt that did not support its attached proposition, have been removed. The edited illustration relies on the linked 2024 statutes and labels practical intake suggestions separately. It is not unedited product output, a taxpayer response, a benchmark or independent professional approval.</w:t>
      </w:r>
    </w:p>
    <w:p>
      <w:r>
        <w:t>Internal US federal research intake only, not a filing-ready response or deductibility opinion. Examination deadlines, other limitations, the full factual record and applicable procedures require separate practitioner review. Do not send confidential client records to a public demonstration.</w:t>
      </w:r>
    </w:p>
    <w:p>
      <w:hyperlink r:id="rId13">
        <w:r>
          <w:rPr>
            <w:color w:val="175E43"/>
            <w:u w:val="single"/>
          </w:rPr>
          <w:t>Open this example on Taxterity</w:t>
        </w:r>
      </w:hyperlink>
    </w:p>
    <w:sectPr w:rsidR="00FC693F" w:rsidRPr="0006063C" w:rsidSect="00034616">
      <w:headerReference w:type="default" r:id="rId9"/>
      <w:footerReference w:type="default" r:id="rId10"/>
      <w:pgSz w:w="12240" w:h="15840"/>
      <w:pgMar w:top="1037" w:right="1152" w:bottom="1037"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Edited illustrative workpaper  •  Synthetic facts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TAXTERITY  /  PUBLIC EXAMPLES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info.gov/content/pkg/USCODE-2024-title26/html/USCODE-2024-title26-subtitleA-chap1-subchapB-partVI-sec162.htm" TargetMode="External"/><Relationship Id="rId12" Type="http://schemas.openxmlformats.org/officeDocument/2006/relationships/hyperlink" Target="https://www.govinfo.gov/content/pkg/USCODE-2024-title26/html/USCODE-2024-title26-subtitleF-chap61-subchapA-partI-sec6001.htm" TargetMode="External"/><Relationship Id="rId13" Type="http://schemas.openxmlformats.org/officeDocument/2006/relationships/hyperlink" Target="https://taxterity.com/examples/contested-de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Advertising expense: an internal substantiation checklist</dc:title>
  <dc:subject>Edited illustrative workpaper using synthetic facts</dc:subject>
  <dc:creator>Taxterity</dc:creator>
  <cp:keywords/>
  <dc:description/>
  <cp:lastModifiedBy>Taxterity</cp:lastModifiedBy>
  <cp:revision>1</cp:revision>
  <dcterms:created xsi:type="dcterms:W3CDTF">2026-10-25T00:00:00Z</dcterms:created>
  <dcterms:modified xsi:type="dcterms:W3CDTF">2026-10-25T00:00:00Z</dcterms:modified>
  <cp:category/>
</cp:coreProperties>
</file>