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Storm damage repair research checklist</w:t>
      </w:r>
    </w:p>
    <w:p>
      <w:pPr>
        <w:pStyle w:val="Subtitle"/>
      </w:pPr>
      <w:r>
        <w:t>Edited illustrative workpaper · Synthetic 2024 facts · October 25, 2026</w:t>
      </w:r>
    </w:p>
    <w:p>
      <w:r>
        <w:t>A proposed internal intake checklist for a repair-versus-improvement question, without deciding the tax treatment.</w:t>
      </w:r>
    </w:p>
    <w:p>
      <w:r>
        <w:t>This sample was adapted from an AI-assisted draft and edited for publication. It is not an untouched model answer, a promise of identical results, or a professional opinion.</w:t>
      </w:r>
    </w:p>
    <w:p>
      <w:pPr>
        <w:pStyle w:val="Heading1"/>
      </w:pPr>
      <w:r>
        <w:t>The question</w:t>
      </w:r>
    </w:p>
    <w:p>
      <w:r>
        <w:t>A landlord replaces damaged shingles after a storm in 2024. What should the reviewer establish before classifying the expenditure? Do not assume a deduction or safe harbor.</w:t>
      </w:r>
    </w:p>
    <w:p>
      <w:pPr>
        <w:pStyle w:val="Heading1"/>
      </w:pPr>
      <w:r>
        <w:t>Facts supplied</w:t>
      </w:r>
    </w:p>
    <w:p>
      <w:pPr>
        <w:pStyle w:val="ListBullet"/>
      </w:pPr>
      <w:r>
        <w:t>Synthetic example: an existing rental building has several damaged shingles replaced after a storm.</w:t>
      </w:r>
    </w:p>
    <w:p>
      <w:pPr>
        <w:pStyle w:val="ListBullet"/>
      </w:pPr>
      <w:r>
        <w:t>No expansion or change in use is described.</w:t>
      </w:r>
    </w:p>
    <w:p>
      <w:pPr>
        <w:pStyle w:val="ListBullet"/>
      </w:pPr>
      <w:r>
        <w:t>The extent of replacement, pre-storm condition, cost, insurance, casualty treatment and related work are unknown.</w:t>
      </w:r>
    </w:p>
    <w:p>
      <w:pPr>
        <w:pStyle w:val="ListBullet"/>
      </w:pPr>
      <w:r>
        <w:t>Whether the rental activity qualifies as a trade or business has not been established.</w:t>
      </w:r>
    </w:p>
    <w:p>
      <w:pPr>
        <w:pStyle w:val="Heading1"/>
      </w:pPr>
      <w:r>
        <w:t>Identify the tax question  not the answer</w:t>
      </w:r>
    </w:p>
    <w:p>
      <w:r>
        <w:t>Section 162(a) addresses ordinary and necessary expenses of carrying on a trade or business; section 263(a) addresses specified capital expenditures. Payment for work is not, by itself, a classification. This illustration does not establish section 162 eligibility or address alternative rental-income deduction provisions. [1] [2]</w:t>
      </w:r>
    </w:p>
    <w:p>
      <w:pPr>
        <w:pStyle w:val="Heading1"/>
      </w:pPr>
      <w:r>
        <w:t>Use the building rules and specific improvement tests</w:t>
      </w:r>
    </w:p>
    <w:p>
      <w:r>
        <w:t>Subject to exceptions, paragraph (d) requires capitalization for improvements. For an ordinary owned building, paragraph (e)(2) generally treats the building and structural components as one unit of property. Improvement tests apply to the building structure or designated systems. Do not simply select the roof as a separate unit. [3]</w:t>
      </w:r>
    </w:p>
    <w:p>
      <w:r>
        <w:t>Paragraph (j)(1) tests betterments: remedying a material pre-acquisition or production defect; a material addition or capacity increase; or an expected material increase in productivity, efficiency, strength, quality or output. A generic value-or-useful-life comparison is not a substitute. [3]</w:t>
      </w:r>
    </w:p>
    <w:p>
      <w:r>
        <w:t>Paragraph (k)(1) identifies restorations involving specified component losses or dispositions, casualty-related basis adjustments, nonfunctional disrepair, rebuilding to like-new condition after class life, or replacement of a major component or substantial structural part. Each has conditions; casualty restorations also have paragraph (k)(4) limits. Paragraph (l) addresses adaptation inconsistent with ordinary use when originally placed in service. Exceptions and safe harbors require separate review. [3]</w:t>
      </w:r>
    </w:p>
    <w:p>
      <w:pPr>
        <w:pStyle w:val="Heading1"/>
      </w:pPr>
      <w:r>
        <w:t>Proposed records request</w:t>
      </w:r>
    </w:p>
    <w:p>
      <w:r>
        <w:t>Suggested intake requests—not a mandated checklist or tax determination:</w:t>
      </w:r>
    </w:p>
    <w:p>
      <w:pPr>
        <w:pStyle w:val="ListBullet"/>
      </w:pPr>
      <w:r>
        <w:t>Contractor's itemized invoice and scope, plus photographs before and after the work.</w:t>
      </w:r>
    </w:p>
    <w:p>
      <w:pPr>
        <w:pStyle w:val="ListBullet"/>
      </w:pPr>
      <w:r>
        <w:t>Roof age, pre-storm condition, location and percentage replaced, and specifications for old and replacement materials.</w:t>
      </w:r>
    </w:p>
    <w:p>
      <w:pPr>
        <w:pStyle w:val="ListBullet"/>
      </w:pPr>
      <w:r>
        <w:t>Descriptions and costs of structural, system or other work performed with the shingle replacement.</w:t>
      </w:r>
    </w:p>
    <w:p>
      <w:pPr>
        <w:pStyle w:val="ListBullet"/>
      </w:pPr>
      <w:r>
        <w:t>Insurance documents, casualty-loss and basis records, and any component-disposition records.</w:t>
      </w:r>
    </w:p>
    <w:p>
      <w:pPr>
        <w:pStyle w:val="ListBullet"/>
      </w:pPr>
      <w:r>
        <w:t>Ownership, property-use and accounting records for the applicable year; evidence for any separately evaluated exception.</w:t>
      </w:r>
    </w:p>
    <w:p>
      <w:pPr>
        <w:pStyle w:val="Heading1"/>
      </w:pPr>
      <w:r>
        <w:t>Unresolved work product</w:t>
      </w:r>
    </w:p>
    <w:p>
      <w:r>
        <w:t>The reviewer still needs a documented fact-to-rule analysis and a check for any relevant changes during the year. The assumed lack of expansion or changed use does not answer all improvement questions. No deduction, capitalization amount, safe-harbor eligibility or filing position is determined here. [3]</w:t>
      </w:r>
    </w:p>
    <w:p>
      <w:pPr>
        <w:pStyle w:val="Heading1"/>
      </w:pPr>
      <w:r>
        <w:t>Sources to inspect</w:t>
      </w:r>
    </w:p>
    <w:p>
      <w:pPr>
        <w:keepNext/>
      </w:pPr>
      <w:hyperlink r:id="rId11">
        <w:r>
          <w:rPr>
            <w:color w:val="175E43"/>
            <w:u w:val="single"/>
          </w:rPr>
          <w:t>[1] 26 U.S.C. §162(a) — trade or business expenses</w:t>
        </w:r>
      </w:hyperlink>
    </w:p>
    <w:p>
      <w:r>
        <w:t>Official United States Code, 2024 edition. Excerpt: “all the ordinary and necessary expenses paid or incurred.”</w:t>
      </w:r>
    </w:p>
    <w:p>
      <w:pPr>
        <w:keepNext/>
      </w:pPr>
      <w:hyperlink r:id="rId12">
        <w:r>
          <w:rPr>
            <w:color w:val="175E43"/>
            <w:u w:val="single"/>
          </w:rPr>
          <w:t>[2] 26 U.S.C. §263(a) — capital expenditures</w:t>
        </w:r>
      </w:hyperlink>
    </w:p>
    <w:p>
      <w:r>
        <w:t>Official United States Code, 2024 edition; not the later preliminary text containing section 174A. Excerpt: “Any amount paid out for new buildings or for permanent improvements or betterments.”</w:t>
      </w:r>
    </w:p>
    <w:p>
      <w:pPr>
        <w:keepNext/>
      </w:pPr>
      <w:hyperlink r:id="rId13">
        <w:r>
          <w:rPr>
            <w:color w:val="175E43"/>
            <w:u w:val="single"/>
          </w:rPr>
          <w:t>[3] 26 CFR §1.263(a)-3(d), (e)(2), (j), (k), (l) — improvement framework</w:t>
        </w:r>
      </w:hyperlink>
    </w:p>
    <w:p>
      <w:r>
        <w:t>Official 26 CFR, April 1, 2024 edition, volume 4. PDF pages 22–23: paragraphs (d)/(e)(2), printed pages 657–658; PDF page 43: (j)(1), printed page 678; PDF pages 51–52: (k)(1)/(4), printed pages 686–687; PDF page 61: (l)(1), printed page 696. Excerpt: “each building and its structural components.”</w:t>
      </w:r>
    </w:p>
    <w:p>
      <w:pPr>
        <w:pStyle w:val="Heading1"/>
      </w:pPr>
      <w:r>
        <w:t>About this sample</w:t>
      </w:r>
    </w:p>
    <w:p>
      <w:r>
        <w:t>Edited illustrative workpaper · synthetic facts. Derived from an actual Taxterity run and substantively corrected in an AI-assisted editorial/source check. This edition distinguishes building unit-of-property rules from structure/system testing, replaces the blended value/useful-life shorthand with the regulatory categories, and removes cases and the IRS audit guide. The cited provisions were checked in the official April 1, 2024 CFR edition. It is not unedited model output or a claim of independent professional approval.</w:t>
      </w:r>
    </w:p>
    <w:p>
      <w:r>
        <w:t>US federal issue-spotting only. Missing facts prevent a classification. The April 1, 2024 CFR is a dated edition, not proof that no later relevant change occurred. Verify year-specific law, exceptions and the taxpayer's circumstances with a qualified practitioner before use.</w:t>
      </w:r>
    </w:p>
    <w:p>
      <w:hyperlink r:id="rId14">
        <w:r>
          <w:rPr>
            <w:color w:val="175E43"/>
            <w:u w:val="single"/>
          </w:rPr>
          <w:t>Open this example on Taxterity</w:t>
        </w:r>
      </w:hyperlink>
    </w:p>
    <w:sectPr w:rsidR="00FC693F" w:rsidRPr="0006063C" w:rsidSect="00034616">
      <w:headerReference w:type="default" r:id="rId9"/>
      <w:footerReference w:type="default" r:id="rId10"/>
      <w:pgSz w:w="12240" w:h="15840"/>
      <w:pgMar w:top="1037" w:right="1152" w:bottom="1037" w:left="1152"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 xml:space="preserve">Edited illustrative workpaper  •  Synthetic facts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t>TAXTERITY  /  PUBLIC EXAMPLES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40" w:line="269" w:lineRule="auto"/>
    </w:pPr>
    <w:rPr>
      <w:rFonts w:ascii="Calibri" w:hAnsi="Calibri"/>
      <w:color w:val="000000"/>
      <w:sz w:val="21"/>
    </w:rPr>
  </w:style>
  <w:style w:type="paragraph" w:styleId="Header">
    <w:name w:val="header"/>
    <w:basedOn w:val="Normal"/>
    <w:link w:val="HeaderChar"/>
    <w:uiPriority w:val="99"/>
    <w:unhideWhenUsed/>
    <w:rsid w:val="00E618BF"/>
    <w:pPr>
      <w:widowControl/>
      <w:tabs>
        <w:tab w:val="center" w:pos="4680"/>
        <w:tab w:val="right" w:pos="9360"/>
      </w:tabs>
      <w:spacing w:after="0" w:line="240" w:lineRule="auto"/>
    </w:pPr>
    <w:rPr>
      <w:rFonts w:ascii="Calibri" w:hAnsi="Calibri"/>
      <w:color w:val="000000"/>
      <w:sz w:val="16"/>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widowControl/>
      <w:tabs>
        <w:tab w:val="center" w:pos="4680"/>
        <w:tab w:val="right" w:pos="9360"/>
      </w:tabs>
      <w:spacing w:after="0" w:line="240" w:lineRule="auto"/>
    </w:pPr>
    <w:rPr>
      <w:rFonts w:ascii="Calibri" w:hAnsi="Calibri"/>
      <w:color w:val="000000"/>
      <w:sz w:val="16"/>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240" w:after="120"/>
      <w:outlineLvl w:val="0"/>
    </w:pPr>
    <w:rPr>
      <w:rFonts w:asciiTheme="majorHAnsi" w:eastAsiaTheme="majorEastAsia" w:hAnsiTheme="majorHAnsi" w:cstheme="majorBidi" w:ascii="Calibri" w:hAnsi="Calibri"/>
      <w:b/>
      <w:bCs/>
      <w:color w:val="000000"/>
      <w:sz w:val="28"/>
      <w:szCs w:val="28"/>
    </w:rPr>
  </w:style>
  <w:style w:type="paragraph" w:styleId="Heading2">
    <w:name w:val="heading 2"/>
    <w:basedOn w:val="Normal"/>
    <w:next w:val="Normal"/>
    <w:link w:val="Heading2Char"/>
    <w:uiPriority w:val="9"/>
    <w:unhideWhenUsed/>
    <w:qFormat/>
    <w:rsid w:val="00FC693F"/>
    <w:pPr>
      <w:keepNext/>
      <w:keepLines/>
      <w:widowControl/>
      <w:spacing w:before="240" w:after="120"/>
      <w:outlineLvl w:val="1"/>
    </w:pPr>
    <w:rPr>
      <w:rFonts w:asciiTheme="majorHAnsi" w:eastAsiaTheme="majorEastAsia" w:hAnsiTheme="majorHAnsi" w:cstheme="majorBidi" w:ascii="Calibri" w:hAnsi="Calibri"/>
      <w:b/>
      <w:bCs/>
      <w:color w:val="000000"/>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widowControl/>
      <w:spacing w:after="120" w:line="240" w:lineRule="auto" w:before="0"/>
      <w:contextualSpacing/>
    </w:pPr>
    <w:rPr>
      <w:rFonts w:asciiTheme="majorHAnsi" w:eastAsiaTheme="majorEastAsia" w:hAnsiTheme="majorHAnsi" w:cstheme="majorBidi" w:ascii="Calibri" w:hAnsi="Calibri"/>
      <w:color w:val="000000"/>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widowControl/>
      <w:numPr>
        <w:ilvl w:val="1"/>
      </w:numPr>
    </w:pPr>
    <w:rPr>
      <w:rFonts w:asciiTheme="majorHAnsi" w:eastAsiaTheme="majorEastAsia" w:hAnsiTheme="majorHAnsi" w:cstheme="majorBidi" w:ascii="Calibri" w:hAnsi="Calibri"/>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widowControl/>
      <w:numPr>
        <w:numId w:val="1"/>
      </w:numPr>
      <w:contextualSpacing/>
    </w:pPr>
    <w:rPr>
      <w:rFonts w:ascii="Calibri" w:hAnsi="Calibri"/>
      <w:color w:val="000000"/>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govinfo.gov/content/pkg/USCODE-2024-title26/html/USCODE-2024-title26-subtitleA-chap1-subchapB-partVI-sec162.htm" TargetMode="External"/><Relationship Id="rId12" Type="http://schemas.openxmlformats.org/officeDocument/2006/relationships/hyperlink" Target="https://www.govinfo.gov/content/pkg/USCODE-2024-title26/html/USCODE-2024-title26-subtitleA-chap1-subchapB-partIX-sec263.htm" TargetMode="External"/><Relationship Id="rId13" Type="http://schemas.openxmlformats.org/officeDocument/2006/relationships/hyperlink" Target="https://www.govinfo.gov/content/pkg/CFR-2024-title26-vol4/pdf/CFR-2024-title26-vol4-part1-subjectgroup-id167.pdf#page=22" TargetMode="External"/><Relationship Id="rId14" Type="http://schemas.openxmlformats.org/officeDocument/2006/relationships/hyperlink" Target="https://taxterity.com/examples/repair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Storm-damaged shingles: build the missing-facts file</dc:title>
  <dc:subject>Edited illustrative workpaper using synthetic facts</dc:subject>
  <dc:creator>Taxterity</dc:creator>
  <cp:keywords/>
  <dc:description/>
  <cp:lastModifiedBy>Taxterity</cp:lastModifiedBy>
  <cp:revision>1</cp:revision>
  <dcterms:created xsi:type="dcterms:W3CDTF">2026-10-25T00:00:00Z</dcterms:created>
  <dcterms:modified xsi:type="dcterms:W3CDTF">2026-10-25T00:00:00Z</dcterms:modified>
  <cp:category/>
</cp:coreProperties>
</file>